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AD" w:rsidRPr="00B853AD" w:rsidRDefault="00B853AD" w:rsidP="00B853AD">
      <w:pPr>
        <w:pBdr>
          <w:top w:val="single" w:sz="6" w:space="10" w:color="D3D3D3"/>
          <w:left w:val="single" w:sz="6" w:space="12" w:color="D3D3D3"/>
          <w:bottom w:val="single" w:sz="6" w:space="10" w:color="D3D3D3"/>
          <w:right w:val="single" w:sz="6" w:space="31" w:color="D3D3D3"/>
        </w:pBdr>
        <w:shd w:val="clear" w:color="auto" w:fill="EDEFE9"/>
        <w:spacing w:before="100" w:beforeAutospacing="1" w:after="100" w:afterAutospacing="1" w:line="240" w:lineRule="auto"/>
        <w:outlineLvl w:val="1"/>
        <w:rPr>
          <w:rFonts w:ascii="Arial" w:eastAsia="Times New Roman" w:hAnsi="Arial" w:cs="Arial"/>
          <w:color w:val="4A4A4A"/>
          <w:sz w:val="36"/>
          <w:szCs w:val="36"/>
          <w:lang w:eastAsia="fr-CA"/>
        </w:rPr>
      </w:pPr>
      <w:r w:rsidRPr="00B853AD">
        <w:rPr>
          <w:rFonts w:ascii="Arial" w:eastAsia="Times New Roman" w:hAnsi="Arial" w:cs="Arial"/>
          <w:color w:val="4A4A4A"/>
          <w:sz w:val="36"/>
          <w:szCs w:val="36"/>
          <w:lang w:eastAsia="fr-CA"/>
        </w:rPr>
        <w:t>Numérique en éducation : portrait de l’évolution des pratiques en milieu scolaire</w:t>
      </w:r>
    </w:p>
    <w:p w:rsidR="00B853AD" w:rsidRPr="00B853AD" w:rsidRDefault="00B853AD" w:rsidP="00B853AD">
      <w:pPr>
        <w:shd w:val="clear" w:color="auto" w:fill="FFFFFF"/>
        <w:spacing w:after="180" w:line="240" w:lineRule="auto"/>
        <w:ind w:right="117"/>
        <w:rPr>
          <w:rFonts w:ascii="Arial" w:eastAsia="Times New Roman" w:hAnsi="Arial" w:cs="Arial"/>
          <w:color w:val="4A4A4A"/>
          <w:sz w:val="24"/>
          <w:szCs w:val="24"/>
          <w:lang w:eastAsia="fr-CA"/>
        </w:rPr>
      </w:pPr>
      <w:r w:rsidRPr="00B853AD">
        <w:rPr>
          <w:rFonts w:ascii="Arial" w:eastAsia="Times New Roman" w:hAnsi="Arial" w:cs="Arial"/>
          <w:color w:val="4A4A4A"/>
          <w:sz w:val="24"/>
          <w:szCs w:val="24"/>
          <w:lang w:eastAsia="fr-CA"/>
        </w:rPr>
        <w:t>Le numérique se fait de plus en plus présent dans les classes, si bien que la réflexion au sujet du rôle qu’il d</w:t>
      </w:r>
      <w:bookmarkStart w:id="0" w:name="_GoBack"/>
      <w:bookmarkEnd w:id="0"/>
      <w:r w:rsidRPr="00B853AD">
        <w:rPr>
          <w:rFonts w:ascii="Arial" w:eastAsia="Times New Roman" w:hAnsi="Arial" w:cs="Arial"/>
          <w:color w:val="4A4A4A"/>
          <w:sz w:val="24"/>
          <w:szCs w:val="24"/>
          <w:lang w:eastAsia="fr-CA"/>
        </w:rPr>
        <w:t>evrait jouer en éducation devient incontournable.</w:t>
      </w:r>
    </w:p>
    <w:p w:rsidR="00B853AD" w:rsidRPr="00B853AD" w:rsidRDefault="00B853AD" w:rsidP="00B853AD">
      <w:pPr>
        <w:shd w:val="clear" w:color="auto" w:fill="FFFFFF"/>
        <w:spacing w:before="180" w:after="180" w:line="240" w:lineRule="auto"/>
        <w:ind w:right="117"/>
        <w:rPr>
          <w:rFonts w:ascii="Arial" w:eastAsia="Times New Roman" w:hAnsi="Arial" w:cs="Arial"/>
          <w:color w:val="4A4A4A"/>
          <w:sz w:val="24"/>
          <w:szCs w:val="24"/>
          <w:lang w:eastAsia="fr-CA"/>
        </w:rPr>
      </w:pPr>
      <w:r w:rsidRPr="00B853AD">
        <w:rPr>
          <w:rFonts w:ascii="Arial" w:eastAsia="Times New Roman" w:hAnsi="Arial" w:cs="Arial"/>
          <w:color w:val="4A4A4A"/>
          <w:sz w:val="24"/>
          <w:szCs w:val="24"/>
          <w:lang w:eastAsia="fr-CA"/>
        </w:rPr>
        <w:t>S’il s’avère très polarisant dans l’espace public, cet enjeu se doit d’être néanmoins abordé avec nuance et lucidité. À ce titre, les savoirs empiriques issus de la pratique peuvent fournir des repères et permettre d’aborder le sujet par de nouveaux angles d’approche. </w:t>
      </w:r>
    </w:p>
    <w:p w:rsidR="00B853AD" w:rsidRPr="00B853AD" w:rsidRDefault="00B853AD" w:rsidP="00B853AD">
      <w:pPr>
        <w:shd w:val="clear" w:color="auto" w:fill="FFFFFF"/>
        <w:spacing w:before="180" w:after="180" w:line="240" w:lineRule="auto"/>
        <w:ind w:right="117"/>
        <w:rPr>
          <w:rFonts w:ascii="Arial" w:eastAsia="Times New Roman" w:hAnsi="Arial" w:cs="Arial"/>
          <w:color w:val="4A4A4A"/>
          <w:sz w:val="24"/>
          <w:szCs w:val="24"/>
          <w:lang w:eastAsia="fr-CA"/>
        </w:rPr>
      </w:pPr>
      <w:r w:rsidRPr="00B853AD">
        <w:rPr>
          <w:rFonts w:ascii="Arial" w:eastAsia="Times New Roman" w:hAnsi="Arial" w:cs="Arial"/>
          <w:color w:val="4A4A4A"/>
          <w:sz w:val="24"/>
          <w:szCs w:val="24"/>
          <w:lang w:eastAsia="fr-CA"/>
        </w:rPr>
        <w:t>Par notre conférence, nous proposons une incursion dans le parcours d’une école secondaire et de deux enseignants qui, depuis bientôt sept ans, ont pris le virage technologique avec ce que cela suppose de succès, de remises en question et d’adaptation.</w:t>
      </w:r>
    </w:p>
    <w:p w:rsidR="00B853AD" w:rsidRPr="00B853AD" w:rsidRDefault="00B853AD" w:rsidP="00B853AD">
      <w:pPr>
        <w:shd w:val="clear" w:color="auto" w:fill="FFFFFF"/>
        <w:spacing w:before="180" w:after="180" w:line="240" w:lineRule="auto"/>
        <w:ind w:right="117"/>
        <w:rPr>
          <w:rFonts w:ascii="Arial" w:eastAsia="Times New Roman" w:hAnsi="Arial" w:cs="Arial"/>
          <w:color w:val="4A4A4A"/>
          <w:sz w:val="24"/>
          <w:szCs w:val="24"/>
          <w:lang w:eastAsia="fr-CA"/>
        </w:rPr>
      </w:pPr>
      <w:r w:rsidRPr="00B853AD">
        <w:rPr>
          <w:rFonts w:ascii="Arial" w:eastAsia="Times New Roman" w:hAnsi="Arial" w:cs="Arial"/>
          <w:color w:val="4A4A4A"/>
          <w:sz w:val="24"/>
          <w:szCs w:val="24"/>
          <w:lang w:eastAsia="fr-CA"/>
        </w:rPr>
        <w:t>Les observations que nous avons pu faire et les connaissances que nous avons acquises sont le fruit d’une démarche essentiellement autodidacte, mais elles ont été fortement consolidées par l’indispensable contribution de nos collègues, par la direction de notre établissement, par nos élèves et leurs parents, ainsi que par un réseau étendu de contacts et d’experts qui ont su nous épauler.   Tout l’intérêt de cette expérience réside principalement dans la diversité et la richesse des échanges qui ont eu cours dans ce processus de co-construction.</w:t>
      </w:r>
    </w:p>
    <w:p w:rsidR="00B853AD" w:rsidRPr="00B853AD" w:rsidRDefault="00B853AD" w:rsidP="00B853AD">
      <w:pPr>
        <w:shd w:val="clear" w:color="auto" w:fill="FFFFFF"/>
        <w:spacing w:before="180" w:after="180" w:line="240" w:lineRule="auto"/>
        <w:ind w:right="117"/>
        <w:rPr>
          <w:rFonts w:ascii="Arial" w:eastAsia="Times New Roman" w:hAnsi="Arial" w:cs="Arial"/>
          <w:color w:val="4A4A4A"/>
          <w:sz w:val="24"/>
          <w:szCs w:val="24"/>
          <w:lang w:eastAsia="fr-CA"/>
        </w:rPr>
      </w:pPr>
      <w:r w:rsidRPr="00B853AD">
        <w:rPr>
          <w:rFonts w:ascii="Arial" w:eastAsia="Times New Roman" w:hAnsi="Arial" w:cs="Arial"/>
          <w:color w:val="4A4A4A"/>
          <w:sz w:val="24"/>
          <w:szCs w:val="24"/>
          <w:lang w:eastAsia="fr-CA"/>
        </w:rPr>
        <w:t>À ce stade-ci de l’expérience, nous disposons de suffisamment d’informations pour avoir un portrait assez clair de la place du numérique dans notre offre de formation. Ni un fléau, ni une panacée, le numérique nous a fourni plusieurs solutions et nous a posé plusieurs défis.  Par le recensement des pratiques innovantes, par l’implantation d’appareils numériques au ratio 1:1, par le déploiement d’une suite logicielle de productivité, par la mise en place d’une stratégie de formation élargie, par la redéfinition des anciens paradigmes en passant par l’instauration de mesures d’encadrement spécifiques, vous prendrez la mesure des réflexions et des actions qui nous ont guidés au cours des dernières années et qui continuent à nous inspirer.</w:t>
      </w:r>
    </w:p>
    <w:p w:rsidR="00B853AD" w:rsidRPr="00B853AD" w:rsidRDefault="00B853AD" w:rsidP="00B853AD">
      <w:pPr>
        <w:shd w:val="clear" w:color="auto" w:fill="FFFFFF"/>
        <w:spacing w:before="180" w:after="180" w:line="240" w:lineRule="auto"/>
        <w:ind w:right="117"/>
        <w:rPr>
          <w:rFonts w:ascii="Arial" w:eastAsia="Times New Roman" w:hAnsi="Arial" w:cs="Arial"/>
          <w:color w:val="4A4A4A"/>
          <w:sz w:val="24"/>
          <w:szCs w:val="24"/>
          <w:lang w:eastAsia="fr-CA"/>
        </w:rPr>
      </w:pPr>
      <w:r w:rsidRPr="00B853AD">
        <w:rPr>
          <w:rFonts w:ascii="Arial" w:eastAsia="Times New Roman" w:hAnsi="Arial" w:cs="Arial"/>
          <w:color w:val="4A4A4A"/>
          <w:sz w:val="24"/>
          <w:szCs w:val="24"/>
          <w:lang w:eastAsia="fr-CA"/>
        </w:rPr>
        <w:t>Car si, au fil de notre parcours, nous avons compris que le numérique offrait des possibilités incroyables en ce qui a trait à l’optimisation et à la démocratisation des apprentissages, nous avons aussi appris à rester vigilants et à garder en tête que le numérique doit d’abord et avant tout rester un outil au service de l’être humain.</w:t>
      </w:r>
    </w:p>
    <w:p w:rsidR="00B853AD" w:rsidRPr="00B853AD" w:rsidRDefault="00B853AD" w:rsidP="00B853AD">
      <w:pPr>
        <w:shd w:val="clear" w:color="auto" w:fill="FFFFFF"/>
        <w:spacing w:before="180" w:after="180" w:line="240" w:lineRule="auto"/>
        <w:ind w:right="117"/>
        <w:rPr>
          <w:rFonts w:ascii="Arial" w:eastAsia="Times New Roman" w:hAnsi="Arial" w:cs="Arial"/>
          <w:color w:val="4A4A4A"/>
          <w:sz w:val="24"/>
          <w:szCs w:val="24"/>
          <w:lang w:eastAsia="fr-CA"/>
        </w:rPr>
      </w:pPr>
      <w:r w:rsidRPr="00B853AD">
        <w:rPr>
          <w:rFonts w:ascii="Arial" w:eastAsia="Times New Roman" w:hAnsi="Arial" w:cs="Arial"/>
          <w:color w:val="4A4A4A"/>
          <w:sz w:val="24"/>
          <w:szCs w:val="24"/>
          <w:lang w:eastAsia="fr-CA"/>
        </w:rPr>
        <w:t>Parents / Enseignants au secondaire / </w:t>
      </w:r>
    </w:p>
    <w:p w:rsidR="00B853AD" w:rsidRPr="00B853AD" w:rsidRDefault="00B853AD" w:rsidP="00B853AD">
      <w:pPr>
        <w:shd w:val="clear" w:color="auto" w:fill="FFFFFF"/>
        <w:spacing w:before="180" w:after="180" w:line="240" w:lineRule="auto"/>
        <w:ind w:right="117"/>
        <w:rPr>
          <w:rFonts w:ascii="Arial" w:eastAsia="Times New Roman" w:hAnsi="Arial" w:cs="Arial"/>
          <w:color w:val="4A4A4A"/>
          <w:sz w:val="24"/>
          <w:szCs w:val="24"/>
          <w:lang w:eastAsia="fr-CA"/>
        </w:rPr>
      </w:pPr>
      <w:r w:rsidRPr="00B853AD">
        <w:rPr>
          <w:rFonts w:ascii="Arial" w:eastAsia="Times New Roman" w:hAnsi="Arial" w:cs="Arial"/>
          <w:color w:val="4A4A4A"/>
          <w:sz w:val="24"/>
          <w:szCs w:val="24"/>
          <w:lang w:eastAsia="fr-CA"/>
        </w:rPr>
        <w:t>Récipiendaires 2017 du Prix de l’innovation pédagogique au secondaire de la FEEP /</w:t>
      </w:r>
    </w:p>
    <w:p w:rsidR="00B853AD" w:rsidRPr="00B853AD" w:rsidRDefault="00B853AD" w:rsidP="00B853AD">
      <w:pPr>
        <w:shd w:val="clear" w:color="auto" w:fill="FFFFFF"/>
        <w:spacing w:before="180" w:after="180" w:line="240" w:lineRule="auto"/>
        <w:ind w:right="117"/>
        <w:rPr>
          <w:rFonts w:ascii="Arial" w:eastAsia="Times New Roman" w:hAnsi="Arial" w:cs="Arial"/>
          <w:color w:val="4A4A4A"/>
          <w:sz w:val="24"/>
          <w:szCs w:val="24"/>
          <w:lang w:eastAsia="fr-CA"/>
        </w:rPr>
      </w:pPr>
      <w:r w:rsidRPr="00B853AD">
        <w:rPr>
          <w:rFonts w:ascii="Arial" w:eastAsia="Times New Roman" w:hAnsi="Arial" w:cs="Arial"/>
          <w:color w:val="4A4A4A"/>
          <w:sz w:val="24"/>
          <w:szCs w:val="24"/>
          <w:lang w:eastAsia="fr-CA"/>
        </w:rPr>
        <w:t>Récipiendaires 2018 du Prix du premier ministre pour l’Excellence en Éducation /</w:t>
      </w:r>
    </w:p>
    <w:p w:rsidR="00B853AD" w:rsidRPr="00B853AD" w:rsidRDefault="00B853AD" w:rsidP="00B853AD">
      <w:pPr>
        <w:shd w:val="clear" w:color="auto" w:fill="FFFFFF"/>
        <w:spacing w:before="180" w:after="180" w:line="240" w:lineRule="auto"/>
        <w:ind w:right="117"/>
        <w:rPr>
          <w:rFonts w:ascii="Arial" w:eastAsia="Times New Roman" w:hAnsi="Arial" w:cs="Arial"/>
          <w:color w:val="4A4A4A"/>
          <w:sz w:val="24"/>
          <w:szCs w:val="24"/>
          <w:lang w:eastAsia="fr-CA"/>
        </w:rPr>
      </w:pPr>
      <w:r w:rsidRPr="00B853AD">
        <w:rPr>
          <w:rFonts w:ascii="Arial" w:eastAsia="Times New Roman" w:hAnsi="Arial" w:cs="Arial"/>
          <w:color w:val="4A4A4A"/>
          <w:sz w:val="24"/>
          <w:szCs w:val="24"/>
          <w:lang w:eastAsia="fr-CA"/>
        </w:rPr>
        <w:t>Ambassadeurs 2019 de la Faculté d’éducation de l’université de Sherbrooke /</w:t>
      </w:r>
    </w:p>
    <w:p w:rsidR="00B853AD" w:rsidRPr="00B853AD" w:rsidRDefault="00B853AD" w:rsidP="00B853AD">
      <w:pPr>
        <w:shd w:val="clear" w:color="auto" w:fill="FFFFFF"/>
        <w:spacing w:before="180" w:after="180" w:line="240" w:lineRule="auto"/>
        <w:ind w:right="117"/>
        <w:rPr>
          <w:rFonts w:ascii="Arial" w:eastAsia="Times New Roman" w:hAnsi="Arial" w:cs="Arial"/>
          <w:color w:val="4A4A4A"/>
          <w:sz w:val="24"/>
          <w:szCs w:val="24"/>
          <w:lang w:eastAsia="fr-CA"/>
        </w:rPr>
      </w:pPr>
      <w:r w:rsidRPr="00B853AD">
        <w:rPr>
          <w:rFonts w:ascii="Arial" w:eastAsia="Times New Roman" w:hAnsi="Arial" w:cs="Arial"/>
          <w:color w:val="4A4A4A"/>
          <w:sz w:val="24"/>
          <w:szCs w:val="24"/>
          <w:lang w:eastAsia="fr-CA"/>
        </w:rPr>
        <w:t>Fondateurs de Jonction Éducation</w:t>
      </w:r>
    </w:p>
    <w:p w:rsidR="001B1A1A" w:rsidRDefault="001B1A1A"/>
    <w:sectPr w:rsidR="001B1A1A" w:rsidSect="00B853A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AD"/>
    <w:rsid w:val="001B1A1A"/>
    <w:rsid w:val="00B853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44756-7260-4EFA-B335-0C5C8AE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B853A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53AD"/>
    <w:rPr>
      <w:rFonts w:ascii="Times New Roman" w:eastAsia="Times New Roman" w:hAnsi="Times New Roman" w:cs="Times New Roman"/>
      <w:b/>
      <w:bCs/>
      <w:sz w:val="36"/>
      <w:szCs w:val="36"/>
      <w:lang w:eastAsia="fr-CA"/>
    </w:rPr>
  </w:style>
  <w:style w:type="paragraph" w:customStyle="1" w:styleId="bodytext">
    <w:name w:val="bodytext"/>
    <w:basedOn w:val="Normal"/>
    <w:rsid w:val="00B853A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65745">
      <w:bodyDiv w:val="1"/>
      <w:marLeft w:val="0"/>
      <w:marRight w:val="0"/>
      <w:marTop w:val="0"/>
      <w:marBottom w:val="0"/>
      <w:divBdr>
        <w:top w:val="none" w:sz="0" w:space="0" w:color="auto"/>
        <w:left w:val="none" w:sz="0" w:space="0" w:color="auto"/>
        <w:bottom w:val="none" w:sz="0" w:space="0" w:color="auto"/>
        <w:right w:val="none" w:sz="0" w:space="0" w:color="auto"/>
      </w:divBdr>
      <w:divsChild>
        <w:div w:id="119599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Martel</dc:creator>
  <cp:keywords/>
  <dc:description/>
  <cp:lastModifiedBy>Dominique Martel</cp:lastModifiedBy>
  <cp:revision>1</cp:revision>
  <dcterms:created xsi:type="dcterms:W3CDTF">2019-08-15T17:57:00Z</dcterms:created>
  <dcterms:modified xsi:type="dcterms:W3CDTF">2019-08-15T17:58:00Z</dcterms:modified>
</cp:coreProperties>
</file>